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Helvetica" w:hAnsi="Helvetica" w:eastAsia="Helvetica" w:cs="Helvetica"/>
        </w:rPr>
        <w:t>GOVERNANCE PORTFOLIO</w:t>
      </w:r>
    </w:p>
    <w:p>
      <w:r>
        <w:rPr>
          <w:rFonts w:ascii="Helvetica" w:hAnsi="Helvetica" w:eastAsia="Helvetica" w:cs="Helvetica"/>
          <w:b/>
          <w:color w:val="0F766E"/>
          <w:sz w:val="24"/>
        </w:rPr>
        <w:t>Technology Risk · Control Assurance · Third-Party Risk · AI Governance</w:t>
      </w:r>
    </w:p>
    <w:p>
      <w:r>
        <w:rPr>
          <w:rFonts w:ascii="Helvetica" w:hAnsi="Helvetica" w:eastAsia="Helvetica" w:cs="Helvetica"/>
          <w:color w:val="667085"/>
        </w:rPr>
        <w:t>Md. Abdullah Al Owasi · 2026</w:t>
      </w:r>
    </w:p>
    <w:p>
      <w:pPr>
        <w:spacing w:after="160"/>
        <w:jc w:val="center"/>
      </w:pPr>
      <w:r>
        <w:rPr>
          <w:rFonts w:ascii="Helvetica" w:hAnsi="Helvetica" w:eastAsia="Helvetica" w:cs="Helvetica"/>
          <w:b/>
          <w:color w:val="0F766E"/>
          <w:sz w:val="18"/>
        </w:rPr>
        <w:t>Requirement → Control → Evidence → Exception → Residual Risk → Decision</w:t>
      </w:r>
    </w:p>
    <w:p>
      <w:pPr>
        <w:spacing w:after="200"/>
      </w:pPr>
      <w:r>
        <w:rPr>
          <w:rFonts w:ascii="Helvetica" w:hAnsi="Helvetica" w:eastAsia="Helvetica" w:cs="Helvetica"/>
        </w:rPr>
        <w:t>An executive governance portfolio built for inspection: systems, decision logic, evidence structures, ownership models, exception treatment and residual-risk decisions across assurance, third-party risk and AI governance.</w:t>
      </w:r>
    </w:p>
    <w:p>
      <w:pPr>
        <w:pStyle w:val="Heading1"/>
      </w:pPr>
      <w:r>
        <w:rPr>
          <w:rFonts w:ascii="Helvetica" w:hAnsi="Helvetica" w:eastAsia="Helvetica" w:cs="Helvetica"/>
        </w:rPr>
        <w:t>01 — Executive Thesis</w:t>
      </w:r>
    </w:p>
    <w:p>
      <w:r>
        <w:rPr>
          <w:rFonts w:ascii="Helvetica" w:hAnsi="Helvetica" w:eastAsia="Helvetica" w:cs="Helvetica"/>
        </w:rPr>
        <w:t>Governance earns value when material requirements become accountable controls, inspectable evidence, visible exceptions and explicit decisions. The portfolio applies that operating model across assurance, third-party risk and AI governance.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85"/>
        <w:gridCol w:w="2585"/>
        <w:gridCol w:w="2585"/>
        <w:gridCol w:w="2585"/>
      </w:tblGrid>
      <w:tr>
        <w:trPr>
          <w:tblHeader w:val="true"/>
          <w:cantSplit/>
        </w:trPr>
        <w:tc>
          <w:tcPr>
            <w:tcW w:type="dxa" w:w="2585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8"/>
              </w:rPr>
              <w:t>10</w:t>
            </w:r>
          </w:p>
        </w:tc>
        <w:tc>
          <w:tcPr>
            <w:tcW w:type="dxa" w:w="2585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8"/>
              </w:rPr>
              <w:t>15</w:t>
            </w:r>
          </w:p>
        </w:tc>
        <w:tc>
          <w:tcPr>
            <w:tcW w:type="dxa" w:w="2585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8"/>
              </w:rPr>
              <w:t>25</w:t>
            </w:r>
          </w:p>
        </w:tc>
        <w:tc>
          <w:tcPr>
            <w:tcW w:type="dxa" w:w="2585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8"/>
              </w:rPr>
              <w:t>20</w:t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8"/>
              </w:rPr>
              <w:t>Governance systems</w:t>
            </w:r>
          </w:p>
        </w:tc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8"/>
              </w:rPr>
              <w:t>AI use cases</w:t>
            </w:r>
          </w:p>
        </w:tc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8"/>
              </w:rPr>
              <w:t>Buyer diligence paths</w:t>
            </w:r>
          </w:p>
        </w:tc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8"/>
              </w:rPr>
              <w:t>Vendor-risk questions</w:t>
            </w:r>
          </w:p>
        </w:tc>
      </w:tr>
    </w:tbl>
    <w:p>
      <w:pPr>
        <w:pStyle w:val="Heading1"/>
      </w:pPr>
      <w:r>
        <w:rPr>
          <w:rFonts w:ascii="Helvetica" w:hAnsi="Helvetica" w:eastAsia="Helvetica" w:cs="Helvetica"/>
        </w:rPr>
        <w:t>02 — Decision Architecture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47"/>
        <w:gridCol w:w="3447"/>
        <w:gridCol w:w="3447"/>
      </w:tblGrid>
      <w:tr>
        <w:trPr>
          <w:tblHeader w:val="true"/>
          <w:cantSplit/>
        </w:trPr>
        <w:tc>
          <w:tcPr>
            <w:tcW w:type="dxa" w:w="3447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6"/>
              </w:rPr>
              <w:t>Stage</w:t>
            </w:r>
          </w:p>
        </w:tc>
        <w:tc>
          <w:tcPr>
            <w:tcW w:type="dxa" w:w="3447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6"/>
              </w:rPr>
              <w:t>Operating question</w:t>
            </w:r>
          </w:p>
        </w:tc>
        <w:tc>
          <w:tcPr>
            <w:tcW w:type="dxa" w:w="3447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6"/>
              </w:rPr>
              <w:t>Primary output</w:t>
            </w:r>
          </w:p>
        </w:tc>
      </w:tr>
      <w:tr>
        <w:trPr>
          <w:cantSplit/>
        </w:trP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Requirement</w:t>
            </w:r>
          </w:p>
        </w:tc>
        <w:tc>
          <w:tcPr>
            <w:tcW w:type="dxa" w:w="547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What obligation, risk expectation or business need is material?</w:t>
            </w:r>
          </w:p>
        </w:tc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Scoped requirement</w:t>
            </w:r>
          </w:p>
        </w:tc>
      </w:tr>
      <w:tr>
        <w:trPr>
          <w:cantSplit/>
        </w:trP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Control</w:t>
            </w:r>
          </w:p>
        </w:tc>
        <w:tc>
          <w:tcPr>
            <w:tcW w:type="dxa" w:w="547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What behavior, configuration or process should manage it?</w:t>
            </w:r>
          </w:p>
        </w:tc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Control objective</w:t>
            </w:r>
          </w:p>
        </w:tc>
      </w:tr>
      <w:tr>
        <w:trPr>
          <w:cantSplit/>
        </w:trP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Evidence</w:t>
            </w:r>
          </w:p>
        </w:tc>
        <w:tc>
          <w:tcPr>
            <w:tcW w:type="dxa" w:w="547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What proves the control exists or is operating?</w:t>
            </w:r>
          </w:p>
        </w:tc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Evidence object / source</w:t>
            </w:r>
          </w:p>
        </w:tc>
      </w:tr>
      <w:tr>
        <w:trPr>
          <w:cantSplit/>
        </w:trP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Exception</w:t>
            </w:r>
          </w:p>
        </w:tc>
        <w:tc>
          <w:tcPr>
            <w:tcW w:type="dxa" w:w="547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What is unmet, uncertain or dependent on remediation?</w:t>
            </w:r>
          </w:p>
        </w:tc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Exception / gap state</w:t>
            </w:r>
          </w:p>
        </w:tc>
      </w:tr>
      <w:tr>
        <w:trPr>
          <w:cantSplit/>
        </w:trP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Residual Risk</w:t>
            </w:r>
          </w:p>
        </w:tc>
        <w:tc>
          <w:tcPr>
            <w:tcW w:type="dxa" w:w="547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What remains after current controls are considered?</w:t>
            </w:r>
          </w:p>
        </w:tc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Residual-risk assessment</w:t>
            </w:r>
          </w:p>
        </w:tc>
      </w:tr>
      <w:tr>
        <w:trPr>
          <w:cantSplit/>
        </w:trPr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Decision</w:t>
            </w:r>
          </w:p>
        </w:tc>
        <w:tc>
          <w:tcPr>
            <w:tcW w:type="dxa" w:w="547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Who accepts, remediates, escalates, approves or rejects?</w:t>
            </w:r>
          </w:p>
        </w:tc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Owned decision</w:t>
            </w:r>
          </w:p>
        </w:tc>
      </w:tr>
    </w:tbl>
    <w:p>
      <w:pPr>
        <w:pStyle w:val="Heading1"/>
      </w:pPr>
      <w:r>
        <w:rPr>
          <w:rFonts w:ascii="Helvetica" w:hAnsi="Helvetica" w:eastAsia="Helvetica" w:cs="Helvetica"/>
        </w:rPr>
        <w:t>03 — Flagship Architecture</w:t>
      </w:r>
    </w:p>
    <w:p>
      <w:pPr>
        <w:pStyle w:val="Heading2"/>
      </w:pPr>
      <w:r>
        <w:rPr>
          <w:rFonts w:ascii="Helvetica" w:hAnsi="Helvetica" w:eastAsia="Helvetica" w:cs="Helvetica"/>
        </w:rPr>
        <w:t>Enterprise Assurance Evidence Fabric</w:t>
      </w:r>
    </w:p>
    <w:p>
      <w:r>
        <w:rPr>
          <w:rFonts w:ascii="Helvetica" w:hAnsi="Helvetica" w:eastAsia="Helvetica" w:cs="Helvetica"/>
        </w:rPr>
        <w:t>Control-to-evidence architecture connecting trust claims to owners, framework references, evidence, exception state and remediation decisions.</w:t>
      </w:r>
    </w:p>
    <w:p>
      <w:r>
        <w:rPr>
          <w:rFonts w:ascii="Helvetica" w:hAnsi="Helvetica" w:eastAsia="Helvetica" w:cs="Helvetica"/>
          <w:b/>
          <w:color w:val="0F766E"/>
        </w:rPr>
        <w:t>Evidence architecture: 15 control/evidence domains · 25 buyer-diligence paths</w:t>
      </w:r>
    </w:p>
    <w:p>
      <w:pPr>
        <w:pStyle w:val="Heading2"/>
      </w:pPr>
      <w:r>
        <w:rPr>
          <w:rFonts w:ascii="Helvetica" w:hAnsi="Helvetica" w:eastAsia="Helvetica" w:cs="Helvetica"/>
        </w:rPr>
        <w:t>AI Governance Decision Architecture</w:t>
      </w:r>
    </w:p>
    <w:p>
      <w:r>
        <w:rPr>
          <w:rFonts w:ascii="Helvetica" w:hAnsi="Helvetica" w:eastAsia="Helvetica" w:cs="Helvetica"/>
        </w:rPr>
        <w:t>AI-use-case register connecting purpose, data classes, stakeholders, human oversight, NIST AI RMF functions, controls, residual risk, monitoring and transparency decisions.</w:t>
      </w:r>
    </w:p>
    <w:p>
      <w:r>
        <w:rPr>
          <w:rFonts w:ascii="Helvetica" w:hAnsi="Helvetica" w:eastAsia="Helvetica" w:cs="Helvetica"/>
          <w:b/>
          <w:color w:val="0F766E"/>
        </w:rPr>
        <w:t>AI governance architecture: 15 mapped AI use cases</w:t>
      </w:r>
    </w:p>
    <w:p>
      <w:pPr>
        <w:pStyle w:val="Heading2"/>
      </w:pPr>
      <w:r>
        <w:rPr>
          <w:rFonts w:ascii="Helvetica" w:hAnsi="Helvetica" w:eastAsia="Helvetica" w:cs="Helvetica"/>
        </w:rPr>
        <w:t>Third-Party Risk Decision Engine</w:t>
      </w:r>
    </w:p>
    <w:p>
      <w:r>
        <w:rPr>
          <w:rFonts w:ascii="Helvetica" w:hAnsi="Helvetica" w:eastAsia="Helvetica" w:cs="Helvetica"/>
        </w:rPr>
        <w:t>Criticality-driven model connecting data exposure, assurance evidence, contractual obligations and residual risk to scrutiny depth and decision state.</w:t>
      </w:r>
    </w:p>
    <w:p>
      <w:r>
        <w:rPr>
          <w:rFonts w:ascii="Helvetica" w:hAnsi="Helvetica" w:eastAsia="Helvetica" w:cs="Helvetica"/>
          <w:b/>
          <w:color w:val="0F766E"/>
        </w:rPr>
        <w:t>TPRM architecture: 20-question assessment · 10 vendor-risk profiles</w:t>
      </w:r>
    </w:p>
    <w:p>
      <w:pPr>
        <w:pStyle w:val="Heading1"/>
      </w:pPr>
      <w:r>
        <w:rPr>
          <w:rFonts w:ascii="Helvetica" w:hAnsi="Helvetica" w:eastAsia="Helvetica" w:cs="Helvetica"/>
        </w:rPr>
        <w:t>04 — Governance Systems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47"/>
        <w:gridCol w:w="3447"/>
        <w:gridCol w:w="3447"/>
      </w:tblGrid>
      <w:tr>
        <w:trPr>
          <w:tblHeader w:val="true"/>
          <w:cantSplit/>
        </w:trPr>
        <w:tc>
          <w:tcPr>
            <w:tcW w:type="dxa" w:w="3447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5"/>
              </w:rPr>
              <w:t>System</w:t>
            </w:r>
          </w:p>
        </w:tc>
        <w:tc>
          <w:tcPr>
            <w:tcW w:type="dxa" w:w="3447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5"/>
              </w:rPr>
              <w:t>Decision focus</w:t>
            </w:r>
          </w:p>
        </w:tc>
        <w:tc>
          <w:tcPr>
            <w:tcW w:type="dxa" w:w="3447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5"/>
              </w:rPr>
              <w:t>Inspectable artifact</w:t>
            </w:r>
          </w:p>
        </w:tc>
      </w:tr>
      <w:tr>
        <w:trPr>
          <w:cantSplit/>
        </w:trPr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Enterprise Trust &amp; Customer Assurance</w:t>
            </w:r>
          </w:p>
        </w:tc>
        <w:tc>
          <w:tcPr>
            <w:tcW w:type="dxa" w:w="453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Reusable, evidence-backed assurance responses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Trust evidence matrix</w:t>
            </w:r>
          </w:p>
        </w:tc>
      </w:tr>
      <w:tr>
        <w:trPr>
          <w:cantSplit/>
        </w:trPr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AI Governance Operating System</w:t>
            </w:r>
          </w:p>
        </w:tc>
        <w:tc>
          <w:tcPr>
            <w:tcW w:type="dxa" w:w="453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Inventory, risk ownership, oversight and monitoring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AI risk register</w:t>
            </w:r>
          </w:p>
        </w:tc>
      </w:tr>
      <w:tr>
        <w:trPr>
          <w:cantSplit/>
        </w:trPr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Third-Party Risk Management</w:t>
            </w:r>
          </w:p>
        </w:tc>
        <w:tc>
          <w:tcPr>
            <w:tcW w:type="dxa" w:w="453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Criticality and evidence-driven vendor decisions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Vendor risk register + assessment</w:t>
            </w:r>
          </w:p>
        </w:tc>
      </w:tr>
      <w:tr>
        <w:trPr>
          <w:cantSplit/>
        </w:trPr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SOC 2 + ISO 27001 Control Evidence</w:t>
            </w:r>
          </w:p>
        </w:tc>
        <w:tc>
          <w:tcPr>
            <w:tcW w:type="dxa" w:w="453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Control intent, evidence and test state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Control inventory</w:t>
            </w:r>
          </w:p>
        </w:tc>
      </w:tr>
      <w:tr>
        <w:trPr>
          <w:cantSplit/>
        </w:trPr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Executive Technology Risk</w:t>
            </w:r>
          </w:p>
        </w:tc>
        <w:tc>
          <w:tcPr>
            <w:tcW w:type="dxa" w:w="453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Residual risk, KRIs, thresholds and escalation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Executive risk register</w:t>
            </w:r>
          </w:p>
        </w:tc>
      </w:tr>
      <w:tr>
        <w:trPr>
          <w:cantSplit/>
        </w:trPr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AI Transparency &amp; Article 50</w:t>
            </w:r>
          </w:p>
        </w:tc>
        <w:tc>
          <w:tcPr>
            <w:tcW w:type="dxa" w:w="453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Transparency applicability and accountable action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Transparency register</w:t>
            </w:r>
          </w:p>
        </w:tc>
      </w:tr>
      <w:tr>
        <w:trPr>
          <w:cantSplit/>
        </w:trPr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Shadow AI &amp; Prompt DLP</w:t>
            </w:r>
          </w:p>
        </w:tc>
        <w:tc>
          <w:tcPr>
            <w:tcW w:type="dxa" w:w="453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Unsanctioned AI and sensitive-data controls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Control standard</w:t>
            </w:r>
          </w:p>
        </w:tc>
      </w:tr>
      <w:tr>
        <w:trPr>
          <w:cantSplit/>
        </w:trPr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Procurement Security Triage</w:t>
            </w:r>
          </w:p>
        </w:tc>
        <w:tc>
          <w:tcPr>
            <w:tcW w:type="dxa" w:w="453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Consistent diligence answers and evidence paths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Question library</w:t>
            </w:r>
          </w:p>
        </w:tc>
      </w:tr>
      <w:tr>
        <w:trPr>
          <w:cantSplit/>
        </w:trPr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GDPR Article 28 Processor Governance</w:t>
            </w:r>
          </w:p>
        </w:tc>
        <w:tc>
          <w:tcPr>
            <w:tcW w:type="dxa" w:w="453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Processor/subprocessor obligation tracking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DPA control set</w:t>
            </w:r>
          </w:p>
        </w:tc>
      </w:tr>
      <w:tr>
        <w:trPr>
          <w:cantSplit/>
        </w:trPr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Continuous Audit Operations</w:t>
            </w:r>
          </w:p>
        </w:tc>
        <w:tc>
          <w:tcPr>
            <w:tcW w:type="dxa" w:w="453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Evidence requests, review, remediation and retest</w:t>
            </w:r>
          </w:p>
        </w:tc>
        <w:tc>
          <w:tcPr>
            <w:tcW w:type="dxa" w:w="266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Audit operations tracker</w:t>
            </w:r>
          </w:p>
        </w:tc>
      </w:tr>
    </w:tbl>
    <w:p>
      <w:pPr>
        <w:pStyle w:val="Heading1"/>
      </w:pPr>
      <w:r>
        <w:rPr>
          <w:rFonts w:ascii="Helvetica" w:hAnsi="Helvetica" w:eastAsia="Helvetica" w:cs="Helvetica"/>
        </w:rPr>
        <w:t>05 — AI Risk &amp; Oversight Sample</w:t>
      </w:r>
    </w:p>
    <w:p>
      <w:r>
        <w:rPr>
          <w:rFonts w:ascii="Helvetica" w:hAnsi="Helvetica" w:eastAsia="Helvetica" w:cs="Helvetica"/>
        </w:rPr>
        <w:t>Selected use cases from the 15-use-case AI governance register. Risk values structure assessment across exposure, oversight depth, control treatment and transparency decisions.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85"/>
        <w:gridCol w:w="2585"/>
        <w:gridCol w:w="2585"/>
        <w:gridCol w:w="2585"/>
      </w:tblGrid>
      <w:tr>
        <w:trPr>
          <w:tblHeader w:val="true"/>
          <w:cantSplit/>
        </w:trPr>
        <w:tc>
          <w:tcPr>
            <w:tcW w:type="dxa" w:w="2585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5"/>
              </w:rPr>
              <w:t>Use case</w:t>
            </w:r>
          </w:p>
        </w:tc>
        <w:tc>
          <w:tcPr>
            <w:tcW w:type="dxa" w:w="2585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5"/>
              </w:rPr>
              <w:t>Inherent risk</w:t>
            </w:r>
          </w:p>
        </w:tc>
        <w:tc>
          <w:tcPr>
            <w:tcW w:type="dxa" w:w="2585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5"/>
              </w:rPr>
              <w:t>Human oversight</w:t>
            </w:r>
          </w:p>
        </w:tc>
        <w:tc>
          <w:tcPr>
            <w:tcW w:type="dxa" w:w="2585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5"/>
              </w:rPr>
              <w:t>Residual state</w:t>
            </w:r>
          </w:p>
        </w:tc>
      </w:tr>
      <w:tr>
        <w:trPr>
          <w:cantSplit/>
        </w:trPr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Customer chatbot</w:t>
            </w:r>
          </w:p>
        </w:tc>
        <w:tc>
          <w:tcPr>
            <w:tcW w:type="dxa" w:w="158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12</w:t>
            </w:r>
          </w:p>
        </w:tc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Escalation for material issues</w:t>
            </w:r>
          </w:p>
        </w:tc>
        <w:tc>
          <w:tcPr>
            <w:tcW w:type="dxa" w:w="158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Medium</w:t>
            </w:r>
          </w:p>
        </w:tc>
      </w:tr>
      <w:tr>
        <w:trPr>
          <w:cantSplit/>
        </w:trPr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Security questionnaire assistant</w:t>
            </w:r>
          </w:p>
        </w:tc>
        <w:tc>
          <w:tcPr>
            <w:tcW w:type="dxa" w:w="158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15</w:t>
            </w:r>
          </w:p>
        </w:tc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GRC approval</w:t>
            </w:r>
          </w:p>
        </w:tc>
        <w:tc>
          <w:tcPr>
            <w:tcW w:type="dxa" w:w="158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Medium</w:t>
            </w:r>
          </w:p>
        </w:tc>
      </w:tr>
      <w:tr>
        <w:trPr>
          <w:cantSplit/>
        </w:trPr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Contract review assistant</w:t>
            </w:r>
          </w:p>
        </w:tc>
        <w:tc>
          <w:tcPr>
            <w:tcW w:type="dxa" w:w="158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15</w:t>
            </w:r>
          </w:p>
        </w:tc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Legal review</w:t>
            </w:r>
          </w:p>
        </w:tc>
        <w:tc>
          <w:tcPr>
            <w:tcW w:type="dxa" w:w="158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Medium</w:t>
            </w:r>
          </w:p>
        </w:tc>
      </w:tr>
      <w:tr>
        <w:trPr>
          <w:cantSplit/>
        </w:trPr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Code assistant</w:t>
            </w:r>
          </w:p>
        </w:tc>
        <w:tc>
          <w:tcPr>
            <w:tcW w:type="dxa" w:w="158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15</w:t>
            </w:r>
          </w:p>
        </w:tc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Developer review + CI tests</w:t>
            </w:r>
          </w:p>
        </w:tc>
        <w:tc>
          <w:tcPr>
            <w:tcW w:type="dxa" w:w="158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Medium</w:t>
            </w:r>
          </w:p>
        </w:tc>
      </w:tr>
      <w:tr>
        <w:trPr>
          <w:cantSplit/>
        </w:trPr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Fraud alert prioritizer</w:t>
            </w:r>
          </w:p>
        </w:tc>
        <w:tc>
          <w:tcPr>
            <w:tcW w:type="dxa" w:w="158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15</w:t>
            </w:r>
          </w:p>
        </w:tc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Analyst decision</w:t>
            </w:r>
          </w:p>
        </w:tc>
        <w:tc>
          <w:tcPr>
            <w:tcW w:type="dxa" w:w="158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Medium</w:t>
            </w:r>
          </w:p>
        </w:tc>
      </w:tr>
      <w:tr>
        <w:trPr>
          <w:cantSplit/>
        </w:trPr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Executive risk summarizer</w:t>
            </w:r>
          </w:p>
        </w:tc>
        <w:tc>
          <w:tcPr>
            <w:tcW w:type="dxa" w:w="158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10</w:t>
            </w:r>
          </w:p>
        </w:tc>
        <w:tc>
          <w:tcPr>
            <w:tcW w:type="dxa" w:w="374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CISO/GRC approval</w:t>
            </w:r>
          </w:p>
        </w:tc>
        <w:tc>
          <w:tcPr>
            <w:tcW w:type="dxa" w:w="1584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5"/>
              </w:rPr>
              <w:t>Low</w:t>
            </w:r>
          </w:p>
        </w:tc>
      </w:tr>
    </w:tbl>
    <w:p>
      <w:pPr>
        <w:pStyle w:val="Heading1"/>
      </w:pPr>
      <w:r>
        <w:rPr>
          <w:rFonts w:ascii="Helvetica" w:hAnsi="Helvetica" w:eastAsia="Helvetica" w:cs="Helvetica"/>
        </w:rPr>
        <w:t>06 — Third-Party Risk Decision Logic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47"/>
        <w:gridCol w:w="3447"/>
        <w:gridCol w:w="3447"/>
      </w:tblGrid>
      <w:tr>
        <w:trPr>
          <w:tblHeader w:val="true"/>
          <w:cantSplit/>
        </w:trPr>
        <w:tc>
          <w:tcPr>
            <w:tcW w:type="dxa" w:w="3447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6"/>
              </w:rPr>
              <w:t>Signal</w:t>
            </w:r>
          </w:p>
        </w:tc>
        <w:tc>
          <w:tcPr>
            <w:tcW w:type="dxa" w:w="3447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6"/>
              </w:rPr>
              <w:t>Higher-scrutiny condition</w:t>
            </w:r>
          </w:p>
        </w:tc>
        <w:tc>
          <w:tcPr>
            <w:tcW w:type="dxa" w:w="3447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6"/>
              </w:rPr>
              <w:t>Decision consequence</w:t>
            </w:r>
          </w:p>
        </w:tc>
      </w:tr>
      <w:tr>
        <w:trPr>
          <w:cantSplit/>
        </w:trPr>
        <w:tc>
          <w:tcPr>
            <w:tcW w:type="dxa" w:w="201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Criticality</w:t>
            </w:r>
          </w:p>
        </w:tc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Tier 1 / material dependency</w:t>
            </w:r>
          </w:p>
        </w:tc>
        <w:tc>
          <w:tcPr>
            <w:tcW w:type="dxa" w:w="403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Deeper assurance evidence and owner approval</w:t>
            </w:r>
          </w:p>
        </w:tc>
      </w:tr>
      <w:tr>
        <w:trPr>
          <w:cantSplit/>
        </w:trPr>
        <w:tc>
          <w:tcPr>
            <w:tcW w:type="dxa" w:w="201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Data exposure</w:t>
            </w:r>
          </w:p>
        </w:tc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Sensitive, regulated or customer data</w:t>
            </w:r>
          </w:p>
        </w:tc>
        <w:tc>
          <w:tcPr>
            <w:tcW w:type="dxa" w:w="403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Privacy/security terms + evidence depth</w:t>
            </w:r>
          </w:p>
        </w:tc>
      </w:tr>
      <w:tr>
        <w:trPr>
          <w:cantSplit/>
        </w:trPr>
        <w:tc>
          <w:tcPr>
            <w:tcW w:type="dxa" w:w="201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Evidence quality</w:t>
            </w:r>
          </w:p>
        </w:tc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Partial or stale assurance evidence</w:t>
            </w:r>
          </w:p>
        </w:tc>
        <w:tc>
          <w:tcPr>
            <w:tcW w:type="dxa" w:w="403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Gap treatment or conditional decision</w:t>
            </w:r>
          </w:p>
        </w:tc>
      </w:tr>
      <w:tr>
        <w:trPr>
          <w:cantSplit/>
        </w:trPr>
        <w:tc>
          <w:tcPr>
            <w:tcW w:type="dxa" w:w="2016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Residual risk</w:t>
            </w:r>
          </w:p>
        </w:tc>
        <w:tc>
          <w:tcPr>
            <w:tcW w:type="dxa" w:w="388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Above appetite / unresolved material gap</w:t>
            </w:r>
          </w:p>
        </w:tc>
        <w:tc>
          <w:tcPr>
            <w:tcW w:type="dxa" w:w="403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Remediate, escalate, accept or reject with owner</w:t>
            </w:r>
          </w:p>
        </w:tc>
      </w:tr>
    </w:tbl>
    <w:p>
      <w:pPr>
        <w:pStyle w:val="Heading1"/>
      </w:pPr>
      <w:r>
        <w:rPr>
          <w:rFonts w:ascii="Helvetica" w:hAnsi="Helvetica" w:eastAsia="Helvetica" w:cs="Helvetica"/>
        </w:rPr>
        <w:t>07 — Technical Foundation</w:t>
      </w:r>
    </w:p>
    <w:p>
      <w:r>
        <w:rPr>
          <w:rFonts w:ascii="Helvetica" w:hAnsi="Helvetica" w:eastAsia="Helvetica" w:cs="Helvetica"/>
        </w:rPr>
        <w:t>Python for structured governance workflows · SQL/data modeling for risk and evidence inventories · TypeScript/React/Next.js for typed decision interfaces · Git/GitHub for version control and traceability.</w:t>
      </w:r>
    </w:p>
    <w:p>
      <w:r>
        <w:rPr>
          <w:rFonts w:ascii="Helvetica" w:hAnsi="Helvetica" w:eastAsia="Helvetica" w:cs="Helvetica"/>
          <w:b/>
        </w:rPr>
        <w:t>Education: Bachelor of Computer Science (Hons) — AI &amp; Cybersecurity Specialization, SEGi University, Malaysia.</w:t>
      </w:r>
      <w:r>
        <w:rPr>
          <w:rFonts w:ascii="Helvetica" w:hAnsi="Helvetica" w:eastAsia="Helvetica" w:cs="Helvetica"/>
        </w:rPr>
      </w:r>
    </w:p>
    <w:p>
      <w:pPr>
        <w:pStyle w:val="Heading1"/>
      </w:pPr>
      <w:r>
        <w:rPr>
          <w:rFonts w:ascii="Helvetica" w:hAnsi="Helvetica" w:eastAsia="Helvetica" w:cs="Helvetica"/>
        </w:rPr>
        <w:t>08 — Framework Basis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70"/>
        <w:gridCol w:w="5170"/>
      </w:tblGrid>
      <w:tr>
        <w:trPr>
          <w:tblHeader w:val="true"/>
          <w:cantSplit/>
        </w:trPr>
        <w:tc>
          <w:tcPr>
            <w:tcW w:type="dxa" w:w="5170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6"/>
              </w:rPr>
              <w:t>Framework / source</w:t>
            </w:r>
          </w:p>
        </w:tc>
        <w:tc>
          <w:tcPr>
            <w:tcW w:type="dxa" w:w="5170"/>
            <w:shd w:fill="07100E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rFonts w:ascii="Helvetica" w:hAnsi="Helvetica" w:eastAsia="Helvetica" w:cs="Helvetica"/>
                <w:b/>
                <w:color w:val="FFFFFF"/>
                <w:sz w:val="16"/>
              </w:rPr>
              <w:t>How it is used in the portfolio</w:t>
            </w:r>
          </w:p>
        </w:tc>
      </w:tr>
      <w:tr>
        <w:trPr>
          <w:cantSplit/>
        </w:trP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NIST AI RMF 1.0</w:t>
            </w:r>
          </w:p>
        </w:tc>
        <w:tc>
          <w:tcPr>
            <w:tcW w:type="dxa" w:w="691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Govern · Map · Measure · Manage structure for AI risk work.</w:t>
            </w:r>
          </w:p>
        </w:tc>
      </w:tr>
      <w:tr>
        <w:trPr>
          <w:cantSplit/>
        </w:trP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ISO/IEC 27001:2022</w:t>
            </w:r>
          </w:p>
        </w:tc>
        <w:tc>
          <w:tcPr>
            <w:tcW w:type="dxa" w:w="691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ISMS/control-assurance lens and evidence ownership.</w:t>
            </w:r>
          </w:p>
        </w:tc>
      </w:tr>
      <w:tr>
        <w:trPr>
          <w:cantSplit/>
        </w:trP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SOC 2 Trust Services Criteria</w:t>
            </w:r>
          </w:p>
        </w:tc>
        <w:tc>
          <w:tcPr>
            <w:tcW w:type="dxa" w:w="691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Security, Availability, Processing Integrity, Confidentiality and Privacy assurance lens.</w:t>
            </w:r>
          </w:p>
        </w:tc>
      </w:tr>
      <w:tr>
        <w:trPr>
          <w:cantSplit/>
        </w:trP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ISO/IEC 42001:2023</w:t>
            </w:r>
          </w:p>
        </w:tc>
        <w:tc>
          <w:tcPr>
            <w:tcW w:type="dxa" w:w="691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AI management-system governance concepts.</w:t>
            </w:r>
          </w:p>
        </w:tc>
      </w:tr>
      <w:tr>
        <w:trPr>
          <w:cantSplit/>
        </w:trP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EU AI Act — Article 50</w:t>
            </w:r>
          </w:p>
        </w:tc>
        <w:tc>
          <w:tcPr>
            <w:tcW w:type="dxa" w:w="691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F7FAF9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Transparency decision logic for relevant provider/deployer scenarios.</w:t>
            </w:r>
          </w:p>
        </w:tc>
      </w:tr>
      <w:tr>
        <w:trPr>
          <w:cantSplit/>
        </w:trPr>
        <w:tc>
          <w:tcPr>
            <w:tcW w:type="dxa" w:w="3168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GDPR Article 28</w:t>
            </w:r>
          </w:p>
        </w:tc>
        <w:tc>
          <w:tcPr>
            <w:tcW w:type="dxa" w:w="6912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r>
              <w:rPr>
                <w:rFonts w:ascii="Helvetica" w:hAnsi="Helvetica" w:eastAsia="Helvetica" w:cs="Helvetica"/>
                <w:color w:val="1F2937"/>
                <w:sz w:val="16"/>
              </w:rPr>
              <w:t>Processor/subprocessor contractual-governance lens.</w:t>
            </w:r>
          </w:p>
        </w:tc>
      </w:tr>
    </w:tbl>
    <w:p>
      <w:pPr>
        <w:pStyle w:val="Heading1"/>
      </w:pPr>
      <w:r>
        <w:rPr>
          <w:rFonts w:ascii="Helvetica" w:hAnsi="Helvetica" w:eastAsia="Helvetica" w:cs="Helvetica"/>
        </w:rPr>
        <w:t>09 — Verification</w:t>
      </w:r>
    </w:p>
    <w:p>
      <w:r>
        <w:rPr>
          <w:rFonts w:ascii="Helvetica" w:hAnsi="Helvetica" w:eastAsia="Helvetica" w:cs="Helvetica"/>
        </w:rPr>
        <w:t>Website: https://aaowasi369v7.pages.dev</w:t>
      </w:r>
    </w:p>
    <w:p>
      <w:r>
        <w:rPr>
          <w:rFonts w:ascii="Helvetica" w:hAnsi="Helvetica" w:eastAsia="Helvetica" w:cs="Helvetica"/>
        </w:rPr>
        <w:t>Primary evidence: Governance_Evidence_Workbook.xlsx · Governance_Evidence_Matrix.xlsx</w:t>
      </w:r>
    </w:p>
    <w:p>
      <w:r>
        <w:rPr>
          <w:rFonts w:ascii="Helvetica" w:hAnsi="Helvetica" w:eastAsia="Helvetica" w:cs="Helvetica"/>
        </w:rPr>
        <w:t>Framework sources: nist.gov · iso.org · aicpa-cima.com · digital-strategy.ec.europa.eu · eur-lex.europa.eu</w:t>
      </w:r>
    </w:p>
    <w:sectPr w:rsidR="00FC693F" w:rsidRPr="0006063C" w:rsidSect="00034616">
      <w:pgSz w:w="12240" w:h="15840"/>
      <w:pgMar w:top="835" w:right="950" w:bottom="835" w:left="9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90" w:line="252" w:lineRule="auto"/>
    </w:pPr>
    <w:rPr>
      <w:rFonts w:ascii="Helvetica" w:hAnsi="Helvetica" w:eastAsia="Helvetica" w:cs="Helvetica"/>
      <w:color w:val="1F293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Helvetica" w:hAnsi="Helvetica" w:eastAsia="Helvetica" w:cs="Helvetica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Helvetica" w:hAnsi="Helvetica" w:eastAsia="Helvetica" w:cs="Helvetica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Helvetica" w:hAnsi="Helvetica" w:eastAsia="Helvetica" w:cs="Helvetica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Helvetica" w:hAnsi="Helvetica" w:eastAsia="Helvetica" w:cs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Helvetica" w:hAnsi="Helvetica" w:eastAsia="Helvetica" w:cs="Helvetica"/>
      <w:b/>
      <w:bCs/>
      <w:color w:val="07100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Helvetica" w:hAnsi="Helvetica" w:eastAsia="Helvetica" w:cs="Helvetica"/>
      <w:b/>
      <w:bCs/>
      <w:color w:val="0F766E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Helvetica" w:hAnsi="Helvetica" w:eastAsia="Helvetica" w:cs="Helvetica"/>
      <w:b/>
      <w:bCs/>
      <w:color w:val="115E59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Helvetica" w:hAnsi="Helvetica" w:eastAsia="Helvetica" w:cs="Helvetica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Helvetica" w:hAnsi="Helvetica" w:eastAsia="Helvetica" w:cs="Helvetica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Helvetica" w:hAnsi="Helvetica" w:eastAsia="Helvetica" w:cs="Helvetica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Helvetica" w:hAnsi="Helvetica" w:eastAsia="Helvetica" w:cs="Helvetica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Helvetica" w:hAnsi="Helvetica" w:eastAsia="Helvetica" w:cs="Helvetica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Helvetica" w:hAnsi="Helvetica" w:eastAsia="Helvetica" w:cs="Helvetica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Helvetica" w:hAnsi="Helvetica" w:eastAsia="Helvetica" w:cs="Helvetica"/>
    </w:rPr>
  </w:style>
  <w:style w:type="table" w:default="1" w:styleId="TableNormal">
    <w:name w:val="Normal Table"/>
    <w:uiPriority w:val="99"/>
    <w:semiHidden/>
    <w:unhideWhenUsed/>
    <w:rPr>
      <w:rFonts w:ascii="Helvetica" w:hAnsi="Helvetica" w:eastAsia="Helvetica" w:cs="Helvetic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Helvetica" w:hAnsi="Helvetica" w:eastAsia="Helvetica" w:cs="Helvetica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Helvetica" w:hAnsi="Helvetica" w:eastAsia="Helvetica" w:cs="Helvetica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Helvetica" w:hAnsi="Helvetica" w:eastAsia="Helvetica" w:cs="Helvetica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Helvetica" w:hAnsi="Helvetica" w:eastAsia="Helvetica" w:cs="Helvetica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Helvetica" w:hAnsi="Helvetica" w:eastAsia="Helvetica" w:cs="Helvetica"/>
      <w:b/>
      <w:color w:val="07100E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Helvetica" w:hAnsi="Helvetica" w:eastAsia="Helvetica" w:cs="Helvetica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Helvetica" w:hAnsi="Helvetica" w:eastAsia="Helvetica" w:cs="Helvetica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Helvetica" w:hAnsi="Helvetica" w:eastAsia="Helvetica" w:cs="Helvetica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Helvetica" w:hAnsi="Helvetica" w:eastAsia="Helvetica" w:cs="Helvetica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Helvetica" w:hAnsi="Helvetica" w:eastAsia="Helvetica" w:cs="Helvetica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Helvetica" w:hAnsi="Helvetica" w:eastAsia="Helvetica" w:cs="Helvetica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Helvetica" w:hAnsi="Helvetica" w:eastAsia="Helvetica" w:cs="Helvetica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Helvetica" w:hAnsi="Helvetica" w:eastAsia="Helvetica" w:cs="Helvetica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Helvetica" w:hAnsi="Helvetica" w:eastAsia="Helvetica" w:cs="Helvetic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Helvetica" w:hAnsi="Helvetica" w:eastAsia="Helvetica" w:cs="Helvetica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Helvetica" w:hAnsi="Helvetica" w:eastAsia="Helvetica" w:cs="Helvetica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Helvetica" w:hAnsi="Helvetica" w:eastAsia="Helvetica" w:cs="Helvetica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Helvetica" w:hAnsi="Helvetica" w:eastAsia="Helvetica" w:cs="Helvetica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Helvetica" w:hAnsi="Helvetica" w:eastAsia="Helvetica" w:cs="Helvetica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Helvetica" w:hAnsi="Helvetica" w:eastAsia="Helvetica" w:cs="Helvetica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Helvetica" w:hAnsi="Helvetica" w:eastAsia="Helvetica" w:cs="Helvetica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Helvetica" w:hAnsi="Helvetica" w:eastAsia="Helvetica" w:cs="Helvetica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Helvetica" w:hAnsi="Helvetica" w:eastAsia="Helvetica" w:cs="Helvetica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Helvetica" w:hAnsi="Helvetica" w:eastAsia="Helvetica" w:cs="Helvetica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Helvetica" w:hAnsi="Helvetica" w:eastAsia="Helvetica" w:cs="Helvetica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Helvetica" w:hAnsi="Helvetica" w:eastAsia="Helvetica" w:cs="Helvetica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Helvetica" w:hAnsi="Helvetica" w:eastAsia="Helvetica" w:cs="Helvetica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Helvetica" w:hAnsi="Helvetica" w:eastAsia="Helvetica" w:cs="Helvetica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Helvetica" w:hAnsi="Helvetica" w:eastAsia="Helvetica" w:cs="Helvetic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Helvetica" w:hAnsi="Helvetica" w:eastAsia="Helvetica" w:cs="Helvetica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Helvetica" w:hAnsi="Helvetica" w:eastAsia="Helvetica" w:cs="Helvetica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Helvetica" w:hAnsi="Helvetica" w:eastAsia="Helvetica" w:cs="Helvetica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Helvetica" w:hAnsi="Helvetica" w:eastAsia="Helvetica" w:cs="Helvetica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Helvetica" w:hAnsi="Helvetica" w:eastAsia="Helvetica" w:cs="Helvetica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Helvetica" w:hAnsi="Helvetica" w:eastAsia="Helvetica" w:cs="Helvetica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Helvetica" w:hAnsi="Helvetica" w:eastAsia="Helvetica" w:cs="Helvetica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Helvetica" w:hAnsi="Helvetica" w:eastAsia="Helvetica" w:cs="Helvetica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Helvetica" w:hAnsi="Helvetica" w:eastAsia="Helvetica" w:cs="Helvetica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Helvetica" w:hAnsi="Helvetica" w:eastAsia="Helvetica" w:cs="Helvetica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Helvetica" w:hAnsi="Helvetica" w:eastAsia="Helvetica" w:cs="Helvetica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Helvetica" w:hAnsi="Helvetica" w:eastAsia="Helvetica" w:cs="Helvetica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Helvetica" w:hAnsi="Helvetica" w:eastAsia="Helvetica" w:cs="Helvetica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Helvetica" w:hAnsi="Helvetica" w:eastAsia="Helvetica" w:cs="Helvetica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Helvetica" w:hAnsi="Helvetica" w:eastAsia="Helvetica" w:cs="Helvetica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Helvetica" w:hAnsi="Helvetica" w:eastAsia="Helvetica" w:cs="Helvetica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Helvetica" w:hAnsi="Helvetica" w:eastAsia="Helvetica" w:cs="Helvetica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Helvetica" w:hAnsi="Helvetica" w:eastAsia="Helvetica" w:cs="Helvetica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Helvetica" w:hAnsi="Helvetica" w:eastAsia="Helvetica" w:cs="Helvetica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Helvetica" w:hAnsi="Helvetica" w:eastAsia="Helvetica" w:cs="Helveti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Helvetica" w:hAnsi="Helvetica" w:eastAsia="Helvetica" w:cs="Helvetic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Helvetica" w:hAnsi="Helvetica" w:eastAsia="Helvetica" w:cs="Helvetic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Helvetica" w:hAnsi="Helvetica" w:eastAsia="Helvetica" w:cs="Helvetic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Helvetica" w:hAnsi="Helvetica" w:eastAsia="Helvetica" w:cs="Helvetica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Helvetica" w:hAnsi="Helvetica" w:eastAsia="Helvetica" w:cs="Helvetica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Helvetica" w:hAnsi="Helvetica" w:eastAsia="Helvetica" w:cs="Helvetic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Helvetica" w:hAnsi="Helvetica" w:eastAsia="Helvetica" w:cs="Helvetica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Helvetica" w:hAnsi="Helvetica" w:eastAsia="Helvetica" w:cs="Helvetic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Helvetica" w:hAnsi="Helvetica" w:eastAsia="Helvetica" w:cs="Helvetic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Helvetica" w:hAnsi="Helvetica" w:eastAsia="Helvetica" w:cs="Helvetic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Helvetica" w:hAnsi="Helvetica" w:eastAsia="Helvetica" w:cs="Helvetic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Helvetica" w:hAnsi="Helvetica" w:eastAsia="Helvetica" w:cs="Helvetic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Helvetica" w:hAnsi="Helvetica" w:eastAsia="Helvetica" w:cs="Helvetic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Helvetica" w:hAnsi="Helvetica" w:eastAsia="Helvetica" w:cs="Helvetic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